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494" w:rsidRDefault="00897494" w:rsidP="00897494">
      <w:pPr>
        <w:pStyle w:val="Nadpis1"/>
        <w:spacing w:before="120" w:after="120" w:line="360" w:lineRule="auto"/>
        <w:rPr>
          <w:rFonts w:ascii="Arial Black" w:hAnsi="Arial Black" w:cstheme="minorBidi"/>
          <w:b w:val="0"/>
          <w:bCs w:val="0"/>
          <w:color w:val="auto"/>
          <w:lang w:val="cs-CZ"/>
        </w:rPr>
      </w:pPr>
      <w:proofErr w:type="spellStart"/>
      <w:r>
        <w:rPr>
          <w:rFonts w:ascii="Arial Black" w:hAnsi="Arial Black" w:cstheme="minorBidi"/>
          <w:b w:val="0"/>
          <w:bCs w:val="0"/>
          <w:color w:val="auto"/>
          <w:lang w:val="cs-CZ"/>
        </w:rPr>
        <w:t>Israel</w:t>
      </w:r>
      <w:proofErr w:type="spellEnd"/>
    </w:p>
    <w:p w:rsidR="00897494" w:rsidRDefault="00897494" w:rsidP="00897494">
      <w:pPr>
        <w:jc w:val="center"/>
      </w:pPr>
      <w:r>
        <w:rPr>
          <w:noProof/>
          <w:lang w:val="cs-CZ" w:eastAsia="cs-CZ"/>
        </w:rPr>
        <w:drawing>
          <wp:anchor distT="0" distB="0" distL="114300" distR="114300" simplePos="0" relativeHeight="251659264" behindDoc="1" locked="0" layoutInCell="1" allowOverlap="1" wp14:anchorId="3605C506" wp14:editId="16643E70">
            <wp:simplePos x="0" y="0"/>
            <wp:positionH relativeFrom="column">
              <wp:posOffset>2126615</wp:posOffset>
            </wp:positionH>
            <wp:positionV relativeFrom="paragraph">
              <wp:posOffset>166370</wp:posOffset>
            </wp:positionV>
            <wp:extent cx="1045210" cy="1200150"/>
            <wp:effectExtent l="0" t="0" r="2540" b="0"/>
            <wp:wrapTight wrapText="bothSides">
              <wp:wrapPolygon edited="0">
                <wp:start x="0" y="0"/>
                <wp:lineTo x="0" y="18514"/>
                <wp:lineTo x="5905" y="21257"/>
                <wp:lineTo x="9842" y="21257"/>
                <wp:lineTo x="11810" y="21257"/>
                <wp:lineTo x="15747" y="21257"/>
                <wp:lineTo x="21259" y="18514"/>
                <wp:lineTo x="21259" y="0"/>
                <wp:lineTo x="0" y="0"/>
              </wp:wrapPolygon>
            </wp:wrapTight>
            <wp:docPr id="2" name="obrázek 2" descr="israel_logo_blue n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rael_logo_blue n white"/>
                    <pic:cNvPicPr>
                      <a:picLocks noChangeAspect="1" noChangeArrowheads="1"/>
                    </pic:cNvPicPr>
                  </pic:nvPicPr>
                  <pic:blipFill>
                    <a:blip r:embed="rId7" cstate="print">
                      <a:extLst>
                        <a:ext uri="{28A0092B-C50C-407E-A947-70E740481C1C}">
                          <a14:useLocalDpi xmlns:a14="http://schemas.microsoft.com/office/drawing/2010/main" val="0"/>
                        </a:ext>
                      </a:extLst>
                    </a:blip>
                    <a:srcRect b="11711"/>
                    <a:stretch>
                      <a:fillRect/>
                    </a:stretch>
                  </pic:blipFill>
                  <pic:spPr bwMode="auto">
                    <a:xfrm>
                      <a:off x="0" y="0"/>
                      <a:ext cx="104521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7494" w:rsidRDefault="00897494" w:rsidP="00897494">
      <w:pPr>
        <w:jc w:val="right"/>
      </w:pPr>
    </w:p>
    <w:p w:rsidR="00897494" w:rsidRDefault="00897494" w:rsidP="00897494">
      <w:pPr>
        <w:jc w:val="right"/>
      </w:pPr>
    </w:p>
    <w:p w:rsidR="00897494" w:rsidRDefault="00897494" w:rsidP="00897494">
      <w:pPr>
        <w:jc w:val="right"/>
        <w:rPr>
          <w:rtl/>
        </w:rPr>
      </w:pPr>
    </w:p>
    <w:p w:rsidR="00897494" w:rsidRDefault="00897494" w:rsidP="00897494">
      <w:pPr>
        <w:jc w:val="right"/>
        <w:rPr>
          <w:rtl/>
        </w:rPr>
      </w:pPr>
    </w:p>
    <w:p w:rsidR="00897494" w:rsidRPr="00855CC6" w:rsidRDefault="00897494" w:rsidP="00897494">
      <w:pPr>
        <w:spacing w:after="0" w:line="360" w:lineRule="auto"/>
        <w:jc w:val="right"/>
        <w:rPr>
          <w:rFonts w:asciiTheme="minorBidi" w:hAnsiTheme="minorBidi"/>
          <w:sz w:val="24"/>
          <w:szCs w:val="24"/>
        </w:rPr>
      </w:pPr>
      <w:r w:rsidRPr="00855CC6">
        <w:rPr>
          <w:rFonts w:asciiTheme="minorBidi" w:hAnsiTheme="minorBidi"/>
          <w:sz w:val="24"/>
          <w:szCs w:val="24"/>
        </w:rPr>
        <w:t>Report in regard to the assistance and support of Holocaust survivors living in Israel</w:t>
      </w:r>
    </w:p>
    <w:p w:rsidR="00897494" w:rsidRPr="00855CC6" w:rsidRDefault="00897494" w:rsidP="00897494">
      <w:pPr>
        <w:spacing w:after="0" w:line="360" w:lineRule="auto"/>
        <w:jc w:val="center"/>
        <w:rPr>
          <w:rFonts w:asciiTheme="minorBidi" w:hAnsiTheme="minorBidi"/>
          <w:sz w:val="24"/>
          <w:szCs w:val="24"/>
        </w:rPr>
      </w:pPr>
      <w:r w:rsidRPr="00855CC6">
        <w:rPr>
          <w:rFonts w:asciiTheme="minorBidi" w:hAnsiTheme="minorBidi"/>
          <w:sz w:val="24"/>
          <w:szCs w:val="24"/>
        </w:rPr>
        <w:t>Personal restitution program, welfare, and restitution of property of Holocaust era</w:t>
      </w:r>
    </w:p>
    <w:p w:rsidR="00897494" w:rsidRPr="00855CC6" w:rsidRDefault="00897494" w:rsidP="00897494">
      <w:pPr>
        <w:spacing w:after="0" w:line="360" w:lineRule="auto"/>
        <w:jc w:val="center"/>
        <w:rPr>
          <w:rFonts w:asciiTheme="minorBidi" w:hAnsiTheme="minorBidi"/>
          <w:b/>
          <w:bCs/>
          <w:sz w:val="24"/>
          <w:szCs w:val="24"/>
        </w:rPr>
      </w:pPr>
      <w:r w:rsidRPr="00855CC6">
        <w:rPr>
          <w:rFonts w:asciiTheme="minorBidi" w:hAnsiTheme="minorBidi"/>
          <w:b/>
          <w:bCs/>
          <w:sz w:val="24"/>
          <w:szCs w:val="24"/>
        </w:rPr>
        <w:t>Country report 2010-2012</w:t>
      </w:r>
    </w:p>
    <w:p w:rsidR="00897494" w:rsidRPr="00855CC6" w:rsidRDefault="00897494" w:rsidP="00897494">
      <w:pPr>
        <w:spacing w:after="0" w:line="360" w:lineRule="auto"/>
        <w:jc w:val="center"/>
        <w:rPr>
          <w:rFonts w:asciiTheme="minorBidi" w:hAnsiTheme="minorBidi"/>
          <w:sz w:val="24"/>
          <w:szCs w:val="24"/>
        </w:rPr>
      </w:pPr>
      <w:r w:rsidRPr="00855CC6">
        <w:rPr>
          <w:rFonts w:asciiTheme="minorBidi" w:hAnsiTheme="minorBidi"/>
          <w:sz w:val="24"/>
          <w:szCs w:val="24"/>
        </w:rPr>
        <w:t>Submitted by the Ministry for Senior Citizens</w:t>
      </w:r>
    </w:p>
    <w:p w:rsidR="00897494" w:rsidRPr="00855CC6" w:rsidRDefault="00897494" w:rsidP="00897494">
      <w:pPr>
        <w:spacing w:after="0" w:line="360" w:lineRule="auto"/>
        <w:jc w:val="center"/>
        <w:rPr>
          <w:rFonts w:asciiTheme="minorBidi" w:hAnsiTheme="minorBidi"/>
          <w:sz w:val="24"/>
          <w:szCs w:val="24"/>
        </w:rPr>
      </w:pPr>
      <w:r w:rsidRPr="00855CC6">
        <w:rPr>
          <w:rFonts w:asciiTheme="minorBidi" w:hAnsiTheme="minorBidi"/>
          <w:sz w:val="24"/>
          <w:szCs w:val="24"/>
        </w:rPr>
        <w:t xml:space="preserve">Dr. Lea </w:t>
      </w:r>
      <w:proofErr w:type="spellStart"/>
      <w:r w:rsidRPr="00855CC6">
        <w:rPr>
          <w:rFonts w:asciiTheme="minorBidi" w:hAnsiTheme="minorBidi"/>
          <w:sz w:val="24"/>
          <w:szCs w:val="24"/>
        </w:rPr>
        <w:t>Nass</w:t>
      </w:r>
      <w:proofErr w:type="spellEnd"/>
      <w:r w:rsidRPr="00855CC6">
        <w:rPr>
          <w:rFonts w:asciiTheme="minorBidi" w:hAnsiTheme="minorBidi"/>
          <w:sz w:val="24"/>
          <w:szCs w:val="24"/>
        </w:rPr>
        <w:t>,</w:t>
      </w:r>
    </w:p>
    <w:p w:rsidR="00897494" w:rsidRPr="00855CC6" w:rsidRDefault="00897494" w:rsidP="00897494">
      <w:pPr>
        <w:spacing w:after="0" w:line="360" w:lineRule="auto"/>
        <w:jc w:val="center"/>
        <w:rPr>
          <w:rFonts w:asciiTheme="minorBidi" w:hAnsiTheme="minorBidi"/>
          <w:sz w:val="24"/>
          <w:szCs w:val="24"/>
        </w:rPr>
      </w:pPr>
      <w:r w:rsidRPr="00855CC6">
        <w:rPr>
          <w:rFonts w:asciiTheme="minorBidi" w:hAnsiTheme="minorBidi"/>
          <w:sz w:val="24"/>
          <w:szCs w:val="24"/>
        </w:rPr>
        <w:t>Deputy Minister for Senior Citizens</w:t>
      </w:r>
    </w:p>
    <w:p w:rsidR="00897494" w:rsidRPr="00855CC6" w:rsidRDefault="00897494" w:rsidP="00897494">
      <w:pPr>
        <w:spacing w:after="0" w:line="360" w:lineRule="auto"/>
        <w:jc w:val="center"/>
        <w:rPr>
          <w:rFonts w:asciiTheme="minorBidi" w:hAnsiTheme="minorBidi"/>
          <w:b/>
          <w:bCs/>
          <w:i/>
          <w:iCs/>
          <w:sz w:val="24"/>
          <w:szCs w:val="24"/>
        </w:rPr>
      </w:pPr>
      <w:r w:rsidRPr="00855CC6">
        <w:rPr>
          <w:rFonts w:asciiTheme="minorBidi" w:hAnsiTheme="minorBidi"/>
          <w:b/>
          <w:bCs/>
          <w:i/>
          <w:iCs/>
          <w:sz w:val="24"/>
          <w:szCs w:val="24"/>
        </w:rPr>
        <w:t>Jerusalem, November 2012</w:t>
      </w:r>
    </w:p>
    <w:p w:rsidR="00897494" w:rsidRPr="009629CE" w:rsidRDefault="00897494" w:rsidP="00897494">
      <w:pPr>
        <w:spacing w:before="240" w:line="360" w:lineRule="auto"/>
        <w:rPr>
          <w:rFonts w:asciiTheme="minorBidi" w:hAnsiTheme="minorBidi"/>
          <w:sz w:val="24"/>
          <w:szCs w:val="24"/>
        </w:rPr>
      </w:pPr>
      <w:r w:rsidRPr="009629CE">
        <w:rPr>
          <w:rFonts w:asciiTheme="minorBidi" w:hAnsiTheme="minorBidi"/>
          <w:sz w:val="24"/>
          <w:szCs w:val="24"/>
        </w:rPr>
        <w:t>Dear Participants of the IPRC 2012 Conference,</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 xml:space="preserve">It is with great personal respect and honor that I submit the following report addressing the assistance and support of Holocaust survivors living in Israel, personal restitution programs, welfare, and restitution of property of Holocaust era. </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This report covers the respective legislation and actions undertaken by the Government of Israel, all this in order to ensure the welfare and support of Holocaust survivors living in Israel.</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 xml:space="preserve">The Government of Israel has undertaken many steps in order to ensure that survivors are well taken care of, and attempts in all measures to support the Holocaust survivors as well as their organizations representing them. Only this year, I was a member of a ministerial committee under the patronage of the Prime Minister and the Finance Minister. Following this round of discussion, the government allocate over 2.9 Billion NIS yearly for survivors, including pensions and benefits that will be listed under article B to this report. There are currently more </w:t>
      </w:r>
      <w:proofErr w:type="spellStart"/>
      <w:r w:rsidRPr="009629CE">
        <w:rPr>
          <w:rFonts w:asciiTheme="minorBidi" w:hAnsiTheme="minorBidi"/>
          <w:sz w:val="24"/>
          <w:szCs w:val="24"/>
        </w:rPr>
        <w:t>then</w:t>
      </w:r>
      <w:proofErr w:type="spellEnd"/>
      <w:r w:rsidRPr="009629CE">
        <w:rPr>
          <w:rFonts w:asciiTheme="minorBidi" w:hAnsiTheme="minorBidi"/>
          <w:sz w:val="24"/>
          <w:szCs w:val="24"/>
        </w:rPr>
        <w:t xml:space="preserve"> 60,000 Holocaust Survivors living in Israel who get monthly pensions from Israel.</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lastRenderedPageBreak/>
        <w:t>As the Deputy Minister of the Ministry for Senior citizens, and a daughter of Holocaust survivors, it is my personal pride to follow the government's activities in this respect and to present this report for your review.</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I wish to take this opportunity and thank the Claims Conference that has fought over the years for the benefit of Survivors worldwide. This important organization continues to support many joint governmental and NGOs projects regarding the welfare and care of survivors living in Israel.</w:t>
      </w:r>
    </w:p>
    <w:p w:rsidR="00897494" w:rsidRPr="009629CE" w:rsidRDefault="00897494" w:rsidP="00897494">
      <w:pPr>
        <w:spacing w:line="360" w:lineRule="auto"/>
        <w:rPr>
          <w:rFonts w:asciiTheme="minorBidi" w:hAnsiTheme="minorBidi"/>
          <w:sz w:val="24"/>
          <w:szCs w:val="24"/>
        </w:rPr>
      </w:pPr>
      <w:r w:rsidRPr="009629CE">
        <w:rPr>
          <w:rFonts w:asciiTheme="minorBidi" w:hAnsiTheme="minorBidi"/>
          <w:sz w:val="24"/>
          <w:szCs w:val="24"/>
        </w:rPr>
        <w:t xml:space="preserve">I wish you all successful discussions, and hope that the spirit of the </w:t>
      </w:r>
      <w:proofErr w:type="spellStart"/>
      <w:r w:rsidRPr="009629CE">
        <w:rPr>
          <w:rFonts w:asciiTheme="minorBidi" w:hAnsiTheme="minorBidi"/>
          <w:sz w:val="24"/>
          <w:szCs w:val="24"/>
        </w:rPr>
        <w:t>Terezin</w:t>
      </w:r>
      <w:proofErr w:type="spellEnd"/>
      <w:r w:rsidRPr="009629CE">
        <w:rPr>
          <w:rFonts w:asciiTheme="minorBidi" w:hAnsiTheme="minorBidi"/>
          <w:sz w:val="24"/>
          <w:szCs w:val="24"/>
        </w:rPr>
        <w:t xml:space="preserve"> Declaration would continue to support governmental and NGOs efforts for the benefit of Holocaust survivors.</w:t>
      </w:r>
    </w:p>
    <w:p w:rsidR="00897494" w:rsidRPr="009629CE" w:rsidRDefault="00897494" w:rsidP="00897494">
      <w:pPr>
        <w:spacing w:line="360" w:lineRule="auto"/>
        <w:rPr>
          <w:rFonts w:asciiTheme="minorBidi" w:hAnsiTheme="minorBidi"/>
          <w:sz w:val="24"/>
          <w:szCs w:val="24"/>
        </w:rPr>
      </w:pPr>
      <w:r w:rsidRPr="009629CE">
        <w:rPr>
          <w:rFonts w:asciiTheme="minorBidi" w:hAnsiTheme="minorBidi"/>
          <w:sz w:val="24"/>
          <w:szCs w:val="24"/>
        </w:rPr>
        <w:t>Kindly yours,</w:t>
      </w:r>
    </w:p>
    <w:p w:rsidR="00897494" w:rsidRPr="009629CE" w:rsidRDefault="00897494" w:rsidP="00897494">
      <w:pPr>
        <w:spacing w:line="360" w:lineRule="auto"/>
        <w:rPr>
          <w:rFonts w:asciiTheme="minorBidi" w:hAnsiTheme="minorBidi"/>
          <w:sz w:val="24"/>
          <w:szCs w:val="24"/>
        </w:rPr>
      </w:pPr>
      <w:r w:rsidRPr="009629CE">
        <w:rPr>
          <w:rFonts w:asciiTheme="minorBidi" w:hAnsiTheme="minorBidi"/>
          <w:sz w:val="24"/>
          <w:szCs w:val="24"/>
        </w:rPr>
        <w:t xml:space="preserve">Dr. Lea </w:t>
      </w:r>
      <w:proofErr w:type="spellStart"/>
      <w:r w:rsidRPr="009629CE">
        <w:rPr>
          <w:rFonts w:asciiTheme="minorBidi" w:hAnsiTheme="minorBidi"/>
          <w:sz w:val="24"/>
          <w:szCs w:val="24"/>
        </w:rPr>
        <w:t>Nass</w:t>
      </w:r>
      <w:proofErr w:type="spellEnd"/>
    </w:p>
    <w:p w:rsidR="00897494" w:rsidRPr="009629CE" w:rsidRDefault="00897494" w:rsidP="00897494">
      <w:pPr>
        <w:spacing w:line="360" w:lineRule="auto"/>
        <w:rPr>
          <w:rFonts w:asciiTheme="minorBidi" w:hAnsiTheme="minorBidi"/>
          <w:sz w:val="24"/>
          <w:szCs w:val="24"/>
        </w:rPr>
      </w:pPr>
      <w:r w:rsidRPr="009629CE">
        <w:rPr>
          <w:rFonts w:asciiTheme="minorBidi" w:hAnsiTheme="minorBidi"/>
          <w:sz w:val="24"/>
          <w:szCs w:val="24"/>
        </w:rPr>
        <w:t>Deputy Minister</w:t>
      </w:r>
    </w:p>
    <w:p w:rsidR="00897494" w:rsidRPr="009629CE" w:rsidRDefault="00897494" w:rsidP="00897494">
      <w:pPr>
        <w:spacing w:line="360" w:lineRule="auto"/>
        <w:rPr>
          <w:rFonts w:asciiTheme="minorBidi" w:hAnsiTheme="minorBidi"/>
          <w:sz w:val="24"/>
          <w:szCs w:val="24"/>
        </w:rPr>
      </w:pPr>
      <w:r w:rsidRPr="009629CE">
        <w:rPr>
          <w:rFonts w:asciiTheme="minorBidi" w:hAnsiTheme="minorBidi"/>
          <w:sz w:val="24"/>
          <w:szCs w:val="24"/>
        </w:rPr>
        <w:t>Ministry for Senior Citizens</w:t>
      </w:r>
    </w:p>
    <w:p w:rsidR="00897494" w:rsidRPr="009629CE" w:rsidRDefault="00897494" w:rsidP="00897494">
      <w:pPr>
        <w:spacing w:line="360" w:lineRule="auto"/>
        <w:rPr>
          <w:rFonts w:asciiTheme="minorBidi" w:hAnsiTheme="minorBidi"/>
          <w:b/>
          <w:bCs/>
          <w:sz w:val="24"/>
          <w:szCs w:val="24"/>
          <w:rtl/>
        </w:rPr>
      </w:pPr>
      <w:r w:rsidRPr="009629CE">
        <w:rPr>
          <w:rFonts w:asciiTheme="minorBidi" w:hAnsiTheme="minorBidi"/>
          <w:b/>
          <w:bCs/>
          <w:sz w:val="24"/>
          <w:szCs w:val="24"/>
        </w:rPr>
        <w:t>A. Restitution of Property of Nazi victims in Israel</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A(</w:t>
      </w:r>
      <w:proofErr w:type="gramEnd"/>
      <w:r w:rsidRPr="009629CE">
        <w:rPr>
          <w:rFonts w:asciiTheme="minorBidi" w:hAnsiTheme="minorBidi"/>
          <w:b/>
          <w:bCs/>
          <w:sz w:val="24"/>
          <w:szCs w:val="24"/>
        </w:rPr>
        <w:t>I) Background</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In 2005, the Israeli Parliament established a Parliamentary Investigation Commission designated to investigate the issue of restitution of property which belonged to Nazi victims, including both Real Estate and financial assets which had been entrusted in Israeli banks.</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Joining the international wave of legislation, According to Holocaust Victims' Assets Law,  in 2006 the Government of Israel formed the Company for Location and Restitution of Holocaust Victims Assets Ltd (herewith: "the Company"). The Company's purpose was to establish a platform which would ensure that property was returned to its rightful owners- either Holocaust Survivors or the heirs of those who were persecuted and killed in the Holocaust. According to the abovementioned law, assets belonging to victims, whose heirs are not found, would be used for the purpose of assisting needy survivors living today in Israel, and in second preference to education and commemoration.</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A(</w:t>
      </w:r>
      <w:proofErr w:type="gramEnd"/>
      <w:r w:rsidRPr="009629CE">
        <w:rPr>
          <w:rFonts w:asciiTheme="minorBidi" w:hAnsiTheme="minorBidi"/>
          <w:b/>
          <w:bCs/>
          <w:sz w:val="24"/>
          <w:szCs w:val="24"/>
        </w:rPr>
        <w:t>II) Property Restitution</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lastRenderedPageBreak/>
        <w:t xml:space="preserve">The Company currently manages approximately 900 million NIS, including 570 Million NIS worth of estate properties, and cash accounts consisting of 330 Million NIS). </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The Company was successful in locating and distributing some 46.5 Million NIS to legal heirs</w:t>
      </w:r>
      <w:r w:rsidRPr="009629CE">
        <w:rPr>
          <w:rStyle w:val="Znakapoznpodarou"/>
          <w:rFonts w:asciiTheme="minorBidi" w:hAnsiTheme="minorBidi"/>
          <w:sz w:val="24"/>
          <w:szCs w:val="24"/>
        </w:rPr>
        <w:footnoteReference w:id="1"/>
      </w:r>
      <w:r w:rsidRPr="009629CE">
        <w:rPr>
          <w:rFonts w:asciiTheme="minorBidi" w:hAnsiTheme="minorBidi"/>
          <w:sz w:val="24"/>
          <w:szCs w:val="24"/>
        </w:rPr>
        <w:t>.</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A(</w:t>
      </w:r>
      <w:proofErr w:type="gramEnd"/>
      <w:r w:rsidRPr="009629CE">
        <w:rPr>
          <w:rFonts w:asciiTheme="minorBidi" w:hAnsiTheme="minorBidi"/>
          <w:b/>
          <w:bCs/>
          <w:sz w:val="24"/>
          <w:szCs w:val="24"/>
        </w:rPr>
        <w:t>III) Social Welfare for the benefit of survivors living in Israel</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One of the primary goals of the Company was to act in order to consolidate all property related to Holocaust Victims and guarantee that it would be distributed for the benefit of survivors. In accordance with the legislation which led to the establishment of the Company, since 2008 the Company has distributed a sum total of 292.1 Million NIS directly to survivors in need, while a sum of 106.7 Million NIS was distributed amongst various projects relating to Holocaust Survivors benefit and commemoration.</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The Company allocates an annual sum of 4,800 NIS to some 10,000 Holocaust Survivors in need living in Israel, and distributes an additional sum of 2,400 NIS as a social benefit in the form of an electronic debit card, allowing the survivors to use this sum in order to buy food and supplies.</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Additionally, the Company assists in focused projects such as apartment renovations, medical care, psychiatric treatments and a wide variety of other projects addressing Holocaust Survivors.</w:t>
      </w:r>
    </w:p>
    <w:p w:rsidR="00897494" w:rsidRPr="009629CE" w:rsidRDefault="00897494" w:rsidP="00897494">
      <w:pPr>
        <w:spacing w:line="360" w:lineRule="auto"/>
        <w:rPr>
          <w:rFonts w:asciiTheme="minorBidi" w:hAnsiTheme="minorBidi"/>
          <w:b/>
          <w:bCs/>
          <w:sz w:val="24"/>
          <w:szCs w:val="24"/>
        </w:rPr>
      </w:pPr>
      <w:r w:rsidRPr="009629CE">
        <w:rPr>
          <w:rFonts w:asciiTheme="minorBidi" w:hAnsiTheme="minorBidi"/>
          <w:b/>
          <w:bCs/>
          <w:sz w:val="24"/>
          <w:szCs w:val="24"/>
        </w:rPr>
        <w:t>B. Personal restitution paid by the State of Israel</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B(</w:t>
      </w:r>
      <w:proofErr w:type="gramEnd"/>
      <w:r w:rsidRPr="009629CE">
        <w:rPr>
          <w:rFonts w:asciiTheme="minorBidi" w:hAnsiTheme="minorBidi"/>
          <w:b/>
          <w:bCs/>
          <w:sz w:val="24"/>
          <w:szCs w:val="24"/>
        </w:rPr>
        <w:t>I) Background</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B(</w:t>
      </w:r>
      <w:proofErr w:type="gramEnd"/>
      <w:r w:rsidRPr="009629CE">
        <w:rPr>
          <w:rFonts w:asciiTheme="minorBidi" w:hAnsiTheme="minorBidi"/>
          <w:b/>
          <w:bCs/>
          <w:sz w:val="24"/>
          <w:szCs w:val="24"/>
        </w:rPr>
        <w:t>I)(1) Israeli Nazi Invalid Law-1953</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Following the Reparations Agreement formulated between the Federal Republic of Germany and the State of Israel, and the signing of protocol 1A in this Agreement, the Government of Israel introduced a comprehensive restitution law aimed at compensating Holocaust Survivors that came to Israel prior to 1.10.1953, and were not in Displaced Persons Camps in West Germany on 1.1.47, nor did they hold citizenships of any Western country</w:t>
      </w:r>
      <w:r w:rsidRPr="009629CE">
        <w:rPr>
          <w:rStyle w:val="Znakapoznpodarou"/>
          <w:rFonts w:asciiTheme="minorBidi" w:hAnsiTheme="minorBidi"/>
          <w:sz w:val="24"/>
          <w:szCs w:val="24"/>
        </w:rPr>
        <w:footnoteReference w:id="2"/>
      </w:r>
      <w:r w:rsidRPr="009629CE">
        <w:rPr>
          <w:rFonts w:asciiTheme="minorBidi" w:hAnsiTheme="minorBidi"/>
          <w:sz w:val="24"/>
          <w:szCs w:val="24"/>
        </w:rPr>
        <w:t xml:space="preserve">. </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lastRenderedPageBreak/>
        <w:t>Over the years, both the Government of Israel and the Israeli Supreme Court have broadened the legal interpretation of the definition of Holocaust Survivors included in this law. Between the years 2005-2010, the Supreme Court ruled in two different cases that both Romanian and Bulgarian Jews were to receive restitution due to their persecution by the Nazis.</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In September 2010 these court rulings were followed by a decision of the government to include Libyan Jews under this legislation as well.</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 xml:space="preserve">The direct outcome was an influx in the numbers of survivors who were receiving direct restitution from the Israeli Finance Ministry. </w:t>
      </w:r>
      <w:proofErr w:type="gramStart"/>
      <w:r w:rsidRPr="009629CE">
        <w:rPr>
          <w:rFonts w:asciiTheme="minorBidi" w:hAnsiTheme="minorBidi"/>
          <w:sz w:val="24"/>
          <w:szCs w:val="24"/>
        </w:rPr>
        <w:t>Between 2008-2012</w:t>
      </w:r>
      <w:proofErr w:type="gramEnd"/>
      <w:r w:rsidRPr="009629CE">
        <w:rPr>
          <w:rFonts w:asciiTheme="minorBidi" w:hAnsiTheme="minorBidi"/>
          <w:sz w:val="24"/>
          <w:szCs w:val="24"/>
        </w:rPr>
        <w:t xml:space="preserve"> 25,000 Holocaust survivors were recognized by the Israeli Finance ministry as entitled to a monthly pension according to the abovementioned law</w:t>
      </w:r>
      <w:r w:rsidRPr="009629CE">
        <w:rPr>
          <w:rStyle w:val="Znakapoznpodarou"/>
          <w:rFonts w:asciiTheme="minorBidi" w:hAnsiTheme="minorBidi"/>
          <w:sz w:val="24"/>
          <w:szCs w:val="24"/>
        </w:rPr>
        <w:footnoteReference w:id="3"/>
      </w:r>
      <w:r w:rsidRPr="009629CE">
        <w:rPr>
          <w:rFonts w:asciiTheme="minorBidi" w:hAnsiTheme="minorBidi"/>
          <w:sz w:val="24"/>
          <w:szCs w:val="24"/>
        </w:rPr>
        <w:t>.</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B(</w:t>
      </w:r>
      <w:proofErr w:type="gramEnd"/>
      <w:r w:rsidRPr="009629CE">
        <w:rPr>
          <w:rFonts w:asciiTheme="minorBidi" w:hAnsiTheme="minorBidi"/>
          <w:b/>
          <w:bCs/>
          <w:sz w:val="24"/>
          <w:szCs w:val="24"/>
        </w:rPr>
        <w:t>I)(2) Additional restitution laws broadening the initial Reparations Agreement</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The Government of Israel has exceeded its legal and contractual obligations vis-à-vis the Federal German Government in the form of two separate laws aimed at assisting Holocaust Survivors who were not recognized under the primary Israeli Restitution law (mainly due to the clauses stipulated under the Reparations Agreement with the Federal German Government).</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 xml:space="preserve">In the year </w:t>
      </w:r>
      <w:proofErr w:type="gramStart"/>
      <w:r w:rsidRPr="009629CE">
        <w:rPr>
          <w:rFonts w:asciiTheme="minorBidi" w:hAnsiTheme="minorBidi"/>
          <w:sz w:val="24"/>
          <w:szCs w:val="24"/>
        </w:rPr>
        <w:t>2000  survivors</w:t>
      </w:r>
      <w:proofErr w:type="gramEnd"/>
      <w:r w:rsidRPr="009629CE">
        <w:rPr>
          <w:rFonts w:asciiTheme="minorBidi" w:hAnsiTheme="minorBidi"/>
          <w:sz w:val="24"/>
          <w:szCs w:val="24"/>
        </w:rPr>
        <w:t xml:space="preserve"> who returned to Germany after the Holocaust and originally submitted their claims in Germany were recognized as entitled to a monthly pension. Some received restitution from the German Government, however  In light of BEG </w:t>
      </w:r>
      <w:proofErr w:type="spellStart"/>
      <w:r w:rsidRPr="009629CE">
        <w:rPr>
          <w:rFonts w:asciiTheme="minorBidi" w:hAnsiTheme="minorBidi"/>
          <w:sz w:val="24"/>
          <w:szCs w:val="24"/>
        </w:rPr>
        <w:t>Schlussgesetz</w:t>
      </w:r>
      <w:proofErr w:type="spellEnd"/>
      <w:r w:rsidRPr="009629CE">
        <w:rPr>
          <w:rFonts w:asciiTheme="minorBidi" w:hAnsiTheme="minorBidi"/>
          <w:sz w:val="24"/>
          <w:szCs w:val="24"/>
        </w:rPr>
        <w:t>, those who failed to submit their claim until 1969 were unable to submit such claims to the German authorities, which created a need for additional legislation. Currently, over 3,000 survivors receive a monthly pension due to this law, totaling over 80 million NIS annually.</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Following a wave of protests by survivors, the Government of Israel introduced another law regarding survivors living in Israel. This legislation ensured that all survivors who were in Ghettos, Concentrations Camps or Forced Labor Camps would receive benefits. Today some 2,235 survivors receive a monthly pension, totaling in the amount of 50 Million NIS annually.</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B(</w:t>
      </w:r>
      <w:proofErr w:type="gramEnd"/>
      <w:r w:rsidRPr="009629CE">
        <w:rPr>
          <w:rFonts w:asciiTheme="minorBidi" w:hAnsiTheme="minorBidi"/>
          <w:b/>
          <w:bCs/>
          <w:sz w:val="24"/>
          <w:szCs w:val="24"/>
        </w:rPr>
        <w:t>II) Social allocation executed directly by the Israeli Finance Ministry</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lastRenderedPageBreak/>
        <w:t>In order to allow survivors who were unable to substantiate a claim under the above respected laws to receive compensation, the Government has paid 30 Million NIS to needy survivors who were below the poverty line, in order to ensure that they have an adequate and respectful standard of living. It is noteworthy that this sum is added to the already existing structures included in the National Health Insurance Law 5754-1994.</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 xml:space="preserve">As of 2008, the government has provided additional social benefits to 16,973 Holocaust survivors who receive a monthly sum as is instructed in Article II of the Agreement between the Federal Republic of Germany and the Jewish Claims Conference (sum total of 35 Million NIS). </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 xml:space="preserve">In accordance with </w:t>
      </w:r>
      <w:r w:rsidRPr="009629CE">
        <w:rPr>
          <w:rFonts w:asciiTheme="minorBidi" w:hAnsiTheme="minorBidi"/>
          <w:b/>
          <w:bCs/>
          <w:i/>
          <w:iCs/>
          <w:sz w:val="24"/>
          <w:szCs w:val="24"/>
        </w:rPr>
        <w:t>Governmental Resolution 2534 dated 4.11.2007</w:t>
      </w:r>
      <w:r w:rsidRPr="009629CE">
        <w:rPr>
          <w:rFonts w:asciiTheme="minorBidi" w:hAnsiTheme="minorBidi"/>
          <w:sz w:val="24"/>
          <w:szCs w:val="24"/>
        </w:rPr>
        <w:t>, the Government allocates a large sum of 200 million NIS annually to support social and healthcare-related projects and to support organizations acting to improve Holocaust survivors welfare. This sum was extended this year to 225 Million NIS. One of these projects is financing some costs of medication. This project includes all survivors, as well as 10,888 Survivors recognized by the German Federal Restitution Legislation.</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Over the course of 2012 the Nazi Invalid law was amended in a manner which helped over 7,000 survivors recognized as in need to receive increased benefits totaling in the amount of 50 Million NIS annually. Additional steps such as subsidizing the costs of heating and electricity for needy survivors have also been taken.</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In order to ensure that survivors are aware of their rights and receive the necessary assistance to apply and receive the benefits described above, the Government of Israel has established a national information center which helps all survivors in obtaining their rights. The information center allows survivors to receive information regarding both Israeli and foreign legislation.</w:t>
      </w:r>
    </w:p>
    <w:p w:rsidR="00897494" w:rsidRPr="009629CE" w:rsidRDefault="00897494" w:rsidP="00897494">
      <w:pPr>
        <w:spacing w:line="360" w:lineRule="auto"/>
        <w:rPr>
          <w:rFonts w:asciiTheme="minorBidi" w:hAnsiTheme="minorBidi"/>
          <w:b/>
          <w:bCs/>
          <w:sz w:val="24"/>
          <w:szCs w:val="24"/>
        </w:rPr>
      </w:pPr>
      <w:r w:rsidRPr="009629CE">
        <w:rPr>
          <w:rFonts w:asciiTheme="minorBidi" w:hAnsiTheme="minorBidi"/>
          <w:b/>
          <w:bCs/>
          <w:sz w:val="24"/>
          <w:szCs w:val="24"/>
        </w:rPr>
        <w:t>C. International activities</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C(</w:t>
      </w:r>
      <w:proofErr w:type="gramEnd"/>
      <w:r w:rsidRPr="009629CE">
        <w:rPr>
          <w:rFonts w:asciiTheme="minorBidi" w:hAnsiTheme="minorBidi"/>
          <w:b/>
          <w:bCs/>
          <w:sz w:val="24"/>
          <w:szCs w:val="24"/>
        </w:rPr>
        <w:t>I) Background</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 xml:space="preserve">The above mentioned report relates to steps and laws undertaken in Israel, all in respect to the financial as well as social rights of survivors. The Ministry for Senior citizens has established a department which deals with issues relating to the restitution of Jewish property and restitution rights. </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lastRenderedPageBreak/>
        <w:t xml:space="preserve">In accordance with </w:t>
      </w:r>
      <w:r w:rsidRPr="009629CE">
        <w:rPr>
          <w:rFonts w:asciiTheme="minorBidi" w:hAnsiTheme="minorBidi"/>
          <w:b/>
          <w:bCs/>
          <w:i/>
          <w:iCs/>
          <w:sz w:val="24"/>
          <w:szCs w:val="24"/>
        </w:rPr>
        <w:t>Governmental Resolution 4252 dated 12.2.12</w:t>
      </w:r>
      <w:r w:rsidRPr="009629CE">
        <w:rPr>
          <w:rFonts w:asciiTheme="minorBidi" w:hAnsiTheme="minorBidi"/>
          <w:sz w:val="24"/>
          <w:szCs w:val="24"/>
        </w:rPr>
        <w:t>, the Ministry is in charge of the Governmental coordination and the collections and analysis of information regarding issues relating to the restitution of Jewish property and restitution rights. These activities are closely coordinated with the Israeli Ministry of Foreign Affairs, and thus there is constant cooperation and deliberation between both Ministries relating to these issues.</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C(</w:t>
      </w:r>
      <w:proofErr w:type="gramEnd"/>
      <w:r w:rsidRPr="009629CE">
        <w:rPr>
          <w:rFonts w:asciiTheme="minorBidi" w:hAnsiTheme="minorBidi"/>
          <w:b/>
          <w:bCs/>
          <w:sz w:val="24"/>
          <w:szCs w:val="24"/>
        </w:rPr>
        <w:t xml:space="preserve">II) European </w:t>
      </w:r>
      <w:proofErr w:type="spellStart"/>
      <w:r w:rsidRPr="009629CE">
        <w:rPr>
          <w:rFonts w:asciiTheme="minorBidi" w:hAnsiTheme="minorBidi"/>
          <w:b/>
          <w:bCs/>
          <w:sz w:val="24"/>
          <w:szCs w:val="24"/>
        </w:rPr>
        <w:t>Shoa</w:t>
      </w:r>
      <w:proofErr w:type="spellEnd"/>
      <w:r w:rsidRPr="009629CE">
        <w:rPr>
          <w:rFonts w:asciiTheme="minorBidi" w:hAnsiTheme="minorBidi"/>
          <w:b/>
          <w:bCs/>
          <w:sz w:val="24"/>
          <w:szCs w:val="24"/>
        </w:rPr>
        <w:t xml:space="preserve"> Legacy Institute</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 xml:space="preserve">Following the </w:t>
      </w:r>
      <w:proofErr w:type="spellStart"/>
      <w:r w:rsidRPr="009629CE">
        <w:rPr>
          <w:rFonts w:asciiTheme="minorBidi" w:hAnsiTheme="minorBidi"/>
          <w:sz w:val="24"/>
          <w:szCs w:val="24"/>
        </w:rPr>
        <w:t>Terezin</w:t>
      </w:r>
      <w:proofErr w:type="spellEnd"/>
      <w:r w:rsidRPr="009629CE">
        <w:rPr>
          <w:rFonts w:asciiTheme="minorBidi" w:hAnsiTheme="minorBidi"/>
          <w:sz w:val="24"/>
          <w:szCs w:val="24"/>
        </w:rPr>
        <w:t xml:space="preserve"> Declaration of 2009 and the formation of the </w:t>
      </w:r>
      <w:proofErr w:type="spellStart"/>
      <w:r w:rsidRPr="009629CE">
        <w:rPr>
          <w:rFonts w:asciiTheme="minorBidi" w:hAnsiTheme="minorBidi"/>
          <w:sz w:val="24"/>
          <w:szCs w:val="24"/>
        </w:rPr>
        <w:t>non binding</w:t>
      </w:r>
      <w:proofErr w:type="spellEnd"/>
      <w:r w:rsidRPr="009629CE">
        <w:rPr>
          <w:rFonts w:asciiTheme="minorBidi" w:hAnsiTheme="minorBidi"/>
          <w:sz w:val="24"/>
          <w:szCs w:val="24"/>
        </w:rPr>
        <w:t xml:space="preserve"> Best Practice Guidelines of 2010, the Government of Israel has officially</w:t>
      </w:r>
      <w:r w:rsidRPr="009629CE">
        <w:rPr>
          <w:rFonts w:asciiTheme="minorBidi" w:hAnsiTheme="minorBidi"/>
          <w:b/>
          <w:bCs/>
          <w:i/>
          <w:iCs/>
          <w:sz w:val="24"/>
          <w:szCs w:val="24"/>
        </w:rPr>
        <w:t xml:space="preserve"> </w:t>
      </w:r>
      <w:r w:rsidRPr="009629CE">
        <w:rPr>
          <w:rFonts w:asciiTheme="minorBidi" w:hAnsiTheme="minorBidi"/>
          <w:sz w:val="24"/>
          <w:szCs w:val="24"/>
        </w:rPr>
        <w:t>expressed its gratitude to the Government of the Czech Republic for its extensive work in the field of coordinating international efforts in the matter of restitution of Holocaust Era property.</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 xml:space="preserve">The Government of Israel is currently interested in coordinating with the European </w:t>
      </w:r>
      <w:proofErr w:type="spellStart"/>
      <w:r w:rsidRPr="009629CE">
        <w:rPr>
          <w:rFonts w:asciiTheme="minorBidi" w:hAnsiTheme="minorBidi"/>
          <w:sz w:val="24"/>
          <w:szCs w:val="24"/>
        </w:rPr>
        <w:t>Shoa</w:t>
      </w:r>
      <w:proofErr w:type="spellEnd"/>
      <w:r w:rsidRPr="009629CE">
        <w:rPr>
          <w:rFonts w:asciiTheme="minorBidi" w:hAnsiTheme="minorBidi"/>
          <w:sz w:val="24"/>
          <w:szCs w:val="24"/>
        </w:rPr>
        <w:t xml:space="preserve"> Legacy Institute on this joint project   to the benefit of Holocaust survivors, and in order to promote restitution of private property and create legal frameworks for allocating heirless property for the purpose of Holocaust Survivors welfare.</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C(</w:t>
      </w:r>
      <w:proofErr w:type="gramEnd"/>
      <w:r w:rsidRPr="009629CE">
        <w:rPr>
          <w:rFonts w:asciiTheme="minorBidi" w:hAnsiTheme="minorBidi"/>
          <w:b/>
          <w:bCs/>
          <w:sz w:val="24"/>
          <w:szCs w:val="24"/>
        </w:rPr>
        <w:t>III) Dialog with Federal German Government</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The Ministry for Senior Citizens, assisted by the Israeli National Social Security Institution, have worked closely over the past few years both with the Ministry of Finance and the Ministry of Social Affairs, all this in light of the implementation of the Ghetto Workers Law (ZRBG)</w:t>
      </w:r>
      <w:r w:rsidRPr="009629CE">
        <w:rPr>
          <w:rStyle w:val="Znakapoznpodarou"/>
          <w:rFonts w:asciiTheme="minorBidi" w:hAnsiTheme="minorBidi"/>
          <w:sz w:val="24"/>
          <w:szCs w:val="24"/>
        </w:rPr>
        <w:footnoteReference w:id="4"/>
      </w:r>
      <w:r w:rsidRPr="009629CE">
        <w:rPr>
          <w:rFonts w:asciiTheme="minorBidi" w:hAnsiTheme="minorBidi"/>
          <w:sz w:val="24"/>
          <w:szCs w:val="24"/>
        </w:rPr>
        <w:t>, and the acknowledgment directive for Ghetto workers</w:t>
      </w:r>
      <w:r w:rsidRPr="009629CE">
        <w:rPr>
          <w:rStyle w:val="Znakapoznpodarou"/>
          <w:rFonts w:asciiTheme="minorBidi" w:hAnsiTheme="minorBidi"/>
          <w:sz w:val="24"/>
          <w:szCs w:val="24"/>
        </w:rPr>
        <w:footnoteReference w:id="5"/>
      </w:r>
      <w:r w:rsidRPr="009629CE">
        <w:rPr>
          <w:rFonts w:asciiTheme="minorBidi" w:hAnsiTheme="minorBidi"/>
          <w:sz w:val="24"/>
          <w:szCs w:val="24"/>
        </w:rPr>
        <w:t xml:space="preserve"> which was established by the German government.</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This important dialog and mutual assistance allows the Israeli Government to support the efforts of the German</w:t>
      </w:r>
      <w:r w:rsidRPr="009629CE">
        <w:rPr>
          <w:rFonts w:asciiTheme="minorBidi" w:hAnsiTheme="minorBidi"/>
          <w:sz w:val="24"/>
          <w:szCs w:val="24"/>
          <w:rtl/>
        </w:rPr>
        <w:t xml:space="preserve"> </w:t>
      </w:r>
      <w:r w:rsidRPr="009629CE">
        <w:rPr>
          <w:rFonts w:asciiTheme="minorBidi" w:hAnsiTheme="minorBidi"/>
          <w:sz w:val="24"/>
          <w:szCs w:val="24"/>
        </w:rPr>
        <w:t>social security authorities to locate and facilitate the rights of the survivors living in Israel. This project has become one of the most interesting joint governmental endeavors, whereas the Federal German Government was able to pay approximately 20,000 monthly pensions to Ghetto Workers now living in Israel.</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Furthermore, The ministry for Senior citizens is in close contact with the Federal Finance ministry in regard to the implementation of the Federal</w:t>
      </w:r>
      <w:r w:rsidRPr="009629CE">
        <w:rPr>
          <w:rFonts w:asciiTheme="minorBidi" w:hAnsiTheme="minorBidi"/>
          <w:sz w:val="24"/>
          <w:szCs w:val="24"/>
          <w:rtl/>
        </w:rPr>
        <w:t xml:space="preserve"> </w:t>
      </w:r>
      <w:r w:rsidRPr="009629CE">
        <w:rPr>
          <w:rFonts w:asciiTheme="minorBidi" w:hAnsiTheme="minorBidi"/>
          <w:sz w:val="24"/>
          <w:szCs w:val="24"/>
        </w:rPr>
        <w:t xml:space="preserve">Government Directive concerning the </w:t>
      </w:r>
      <w:r w:rsidRPr="009629CE">
        <w:rPr>
          <w:rFonts w:asciiTheme="minorBidi" w:hAnsiTheme="minorBidi"/>
          <w:sz w:val="24"/>
          <w:szCs w:val="24"/>
        </w:rPr>
        <w:lastRenderedPageBreak/>
        <w:t>payment of amounts to victims of persecution in recognition of work in a ghetto which did not constitute</w:t>
      </w:r>
      <w:r w:rsidRPr="009629CE">
        <w:rPr>
          <w:rFonts w:asciiTheme="minorBidi" w:hAnsiTheme="minorBidi"/>
          <w:sz w:val="24"/>
          <w:szCs w:val="24"/>
          <w:rtl/>
        </w:rPr>
        <w:t xml:space="preserve"> </w:t>
      </w:r>
      <w:r w:rsidRPr="009629CE">
        <w:rPr>
          <w:rFonts w:asciiTheme="minorBidi" w:hAnsiTheme="minorBidi"/>
          <w:sz w:val="24"/>
          <w:szCs w:val="24"/>
        </w:rPr>
        <w:t xml:space="preserve">forced </w:t>
      </w:r>
      <w:proofErr w:type="spellStart"/>
      <w:r w:rsidRPr="009629CE">
        <w:rPr>
          <w:rFonts w:asciiTheme="minorBidi" w:hAnsiTheme="minorBidi"/>
          <w:sz w:val="24"/>
          <w:szCs w:val="24"/>
        </w:rPr>
        <w:t>labour</w:t>
      </w:r>
      <w:proofErr w:type="spellEnd"/>
      <w:r w:rsidRPr="009629CE">
        <w:rPr>
          <w:rFonts w:asciiTheme="minorBidi" w:hAnsiTheme="minorBidi"/>
          <w:sz w:val="24"/>
          <w:szCs w:val="24"/>
        </w:rPr>
        <w:t xml:space="preserve"> (Recognition Directive), allocating a single payment of 2,000</w:t>
      </w:r>
      <w:r w:rsidRPr="009629CE">
        <w:rPr>
          <w:rFonts w:asciiTheme="minorBidi" w:hAnsiTheme="minorBidi"/>
          <w:sz w:val="24"/>
          <w:szCs w:val="24"/>
          <w:rtl/>
        </w:rPr>
        <w:t xml:space="preserve"> </w:t>
      </w:r>
      <w:r w:rsidRPr="009629CE">
        <w:rPr>
          <w:rFonts w:asciiTheme="minorBidi" w:hAnsiTheme="minorBidi"/>
          <w:sz w:val="24"/>
          <w:szCs w:val="24"/>
        </w:rPr>
        <w:t>Euros for the benefit of Holocaust survivors that worked in Ghettos in Nazi</w:t>
      </w:r>
      <w:r w:rsidRPr="009629CE">
        <w:rPr>
          <w:rFonts w:asciiTheme="minorBidi" w:hAnsiTheme="minorBidi"/>
          <w:sz w:val="24"/>
          <w:szCs w:val="24"/>
          <w:rtl/>
        </w:rPr>
        <w:t xml:space="preserve"> </w:t>
      </w:r>
      <w:r w:rsidRPr="009629CE">
        <w:rPr>
          <w:rFonts w:asciiTheme="minorBidi" w:hAnsiTheme="minorBidi"/>
          <w:sz w:val="24"/>
          <w:szCs w:val="24"/>
        </w:rPr>
        <w:t>occupied territory. The ministry was able to facilitate information, and</w:t>
      </w:r>
      <w:r w:rsidRPr="009629CE">
        <w:rPr>
          <w:rFonts w:asciiTheme="minorBidi" w:hAnsiTheme="minorBidi"/>
          <w:sz w:val="24"/>
          <w:szCs w:val="24"/>
          <w:rtl/>
        </w:rPr>
        <w:t xml:space="preserve"> </w:t>
      </w:r>
      <w:r w:rsidRPr="009629CE">
        <w:rPr>
          <w:rFonts w:asciiTheme="minorBidi" w:hAnsiTheme="minorBidi"/>
          <w:sz w:val="24"/>
          <w:szCs w:val="24"/>
        </w:rPr>
        <w:t>needed assistance in order to complete the processing of the respected</w:t>
      </w:r>
      <w:r w:rsidRPr="009629CE">
        <w:rPr>
          <w:rFonts w:asciiTheme="minorBidi" w:hAnsiTheme="minorBidi"/>
          <w:sz w:val="24"/>
          <w:szCs w:val="24"/>
          <w:rtl/>
        </w:rPr>
        <w:t xml:space="preserve"> </w:t>
      </w:r>
      <w:r w:rsidRPr="009629CE">
        <w:rPr>
          <w:rFonts w:asciiTheme="minorBidi" w:hAnsiTheme="minorBidi"/>
          <w:sz w:val="24"/>
          <w:szCs w:val="24"/>
        </w:rPr>
        <w:t>applications</w:t>
      </w:r>
      <w:r w:rsidRPr="009629CE">
        <w:rPr>
          <w:rFonts w:asciiTheme="minorBidi" w:hAnsiTheme="minorBidi"/>
          <w:sz w:val="24"/>
          <w:szCs w:val="24"/>
          <w:rtl/>
        </w:rPr>
        <w:t>.</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Currently, an issue to be discussed between the parties is the issue relating to the retroactive payments executed under the Ghetto Workers Law (ZRBG). Parallel to the discussion between the governments on this issue, the German Bundestag is also holding expert discussion within the relevant parliamentary committees, all this in order to find a solution to the complicated legal aspects of the retroactive payment.</w:t>
      </w:r>
    </w:p>
    <w:p w:rsidR="00897494" w:rsidRPr="009629CE" w:rsidRDefault="00897494" w:rsidP="00897494">
      <w:pPr>
        <w:spacing w:line="360" w:lineRule="auto"/>
        <w:rPr>
          <w:rFonts w:asciiTheme="minorBidi" w:hAnsiTheme="minorBidi"/>
          <w:b/>
          <w:bCs/>
          <w:sz w:val="24"/>
          <w:szCs w:val="24"/>
        </w:rPr>
      </w:pPr>
      <w:proofErr w:type="gramStart"/>
      <w:r w:rsidRPr="009629CE">
        <w:rPr>
          <w:rFonts w:asciiTheme="minorBidi" w:hAnsiTheme="minorBidi"/>
          <w:b/>
          <w:bCs/>
          <w:sz w:val="24"/>
          <w:szCs w:val="24"/>
        </w:rPr>
        <w:t>C(</w:t>
      </w:r>
      <w:proofErr w:type="gramEnd"/>
      <w:r w:rsidRPr="009629CE">
        <w:rPr>
          <w:rFonts w:asciiTheme="minorBidi" w:hAnsiTheme="minorBidi"/>
          <w:b/>
          <w:bCs/>
          <w:sz w:val="24"/>
          <w:szCs w:val="24"/>
        </w:rPr>
        <w:t>IV) Project HEART</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Project HEART is a joint governmental initiative in cooperation with the Jewish Agency for Israel. The project is operated in close cooperation with the Jewish Agency for Israel, allowing the project to reach Holocaust survivors living both in Israel and the Diaspora as well.</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Last reports that were presented to the government showed that close to 170,000 questionnaires have been submitted from Holocaust survivors and heirs from around the world concerning private property stolen or looted by the Nazi powers and their collaborators during the Holocaust era. In addition, archival research allowed the Project to locate over 2.2 million suspected pieces of looted or stolen Jewish property from the Holocaust era.</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The Project seeks to serve both the individual wishing to take part in the Project by submitting a questionnaire relating to stolen or looted private property and also allow the government of Israel, via the Ministry for Senior citizens in cooperation with the ministry of Foreign Affairs to receive a clearer view both to the scope of the respected properties, but also to receive the information regarding the current legal situation in the different respected countries as for the status of restitution of the Jewish property.</w:t>
      </w:r>
    </w:p>
    <w:p w:rsidR="00897494" w:rsidRPr="009629CE" w:rsidRDefault="00897494" w:rsidP="00897494">
      <w:pPr>
        <w:spacing w:line="360" w:lineRule="auto"/>
        <w:jc w:val="both"/>
        <w:rPr>
          <w:rFonts w:asciiTheme="minorBidi" w:hAnsiTheme="minorBidi"/>
          <w:sz w:val="24"/>
          <w:szCs w:val="24"/>
        </w:rPr>
      </w:pPr>
      <w:r w:rsidRPr="009629CE">
        <w:rPr>
          <w:rFonts w:asciiTheme="minorBidi" w:hAnsiTheme="minorBidi"/>
          <w:sz w:val="24"/>
          <w:szCs w:val="24"/>
        </w:rPr>
        <w:t xml:space="preserve">The Government of Israel views with great pride this important Project which acts on behalf of Jews </w:t>
      </w:r>
      <w:proofErr w:type="spellStart"/>
      <w:r w:rsidRPr="009629CE">
        <w:rPr>
          <w:rFonts w:asciiTheme="minorBidi" w:hAnsiTheme="minorBidi"/>
          <w:sz w:val="24"/>
          <w:szCs w:val="24"/>
        </w:rPr>
        <w:t>world wide</w:t>
      </w:r>
      <w:proofErr w:type="spellEnd"/>
      <w:r w:rsidRPr="009629CE">
        <w:rPr>
          <w:rFonts w:asciiTheme="minorBidi" w:hAnsiTheme="minorBidi"/>
          <w:sz w:val="24"/>
          <w:szCs w:val="24"/>
        </w:rPr>
        <w:t xml:space="preserve"> as a registration and information center. With the important information gathered by the Project, the ministry for Senior Citizens can execute </w:t>
      </w:r>
      <w:r w:rsidRPr="009629CE">
        <w:rPr>
          <w:rFonts w:asciiTheme="minorBidi" w:hAnsiTheme="minorBidi"/>
          <w:b/>
          <w:bCs/>
          <w:i/>
          <w:iCs/>
          <w:sz w:val="24"/>
          <w:szCs w:val="24"/>
        </w:rPr>
        <w:t>Governmental Decision 4252 dated 12.2.12</w:t>
      </w:r>
      <w:r w:rsidRPr="009629CE">
        <w:rPr>
          <w:rFonts w:asciiTheme="minorBidi" w:hAnsiTheme="minorBidi"/>
          <w:sz w:val="24"/>
          <w:szCs w:val="24"/>
        </w:rPr>
        <w:t>.</w:t>
      </w:r>
    </w:p>
    <w:p w:rsidR="006C7E62" w:rsidRDefault="006C7E62">
      <w:bookmarkStart w:id="0" w:name="_GoBack"/>
      <w:bookmarkEnd w:id="0"/>
    </w:p>
    <w:sectPr w:rsidR="006C7E6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494" w:rsidRDefault="00897494" w:rsidP="00897494">
      <w:pPr>
        <w:spacing w:after="0" w:line="240" w:lineRule="auto"/>
      </w:pPr>
      <w:r>
        <w:separator/>
      </w:r>
    </w:p>
  </w:endnote>
  <w:endnote w:type="continuationSeparator" w:id="0">
    <w:p w:rsidR="00897494" w:rsidRDefault="00897494" w:rsidP="00897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Black">
    <w:panose1 w:val="020B0A04020102020204"/>
    <w:charset w:val="EE"/>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494" w:rsidRDefault="00897494" w:rsidP="00897494">
      <w:pPr>
        <w:spacing w:after="0" w:line="240" w:lineRule="auto"/>
      </w:pPr>
      <w:r>
        <w:separator/>
      </w:r>
    </w:p>
  </w:footnote>
  <w:footnote w:type="continuationSeparator" w:id="0">
    <w:p w:rsidR="00897494" w:rsidRDefault="00897494" w:rsidP="00897494">
      <w:pPr>
        <w:spacing w:after="0" w:line="240" w:lineRule="auto"/>
      </w:pPr>
      <w:r>
        <w:continuationSeparator/>
      </w:r>
    </w:p>
  </w:footnote>
  <w:footnote w:id="1">
    <w:p w:rsidR="00897494" w:rsidRDefault="00897494" w:rsidP="00897494">
      <w:pPr>
        <w:pStyle w:val="Textpoznpodarou"/>
      </w:pPr>
      <w:r w:rsidRPr="003F370E">
        <w:rPr>
          <w:rStyle w:val="Znakapoznpodarou"/>
        </w:rPr>
        <w:footnoteRef/>
      </w:r>
      <w:r w:rsidRPr="003F370E">
        <w:rPr>
          <w:rtl/>
        </w:rPr>
        <w:t xml:space="preserve"> </w:t>
      </w:r>
      <w:proofErr w:type="spellStart"/>
      <w:r w:rsidRPr="003F370E">
        <w:t>Data</w:t>
      </w:r>
      <w:proofErr w:type="spellEnd"/>
      <w:r w:rsidRPr="003F370E">
        <w:t xml:space="preserve"> </w:t>
      </w:r>
      <w:proofErr w:type="spellStart"/>
      <w:r w:rsidRPr="003F370E">
        <w:t>is</w:t>
      </w:r>
      <w:proofErr w:type="spellEnd"/>
      <w:r w:rsidRPr="003F370E">
        <w:t xml:space="preserve"> </w:t>
      </w:r>
      <w:proofErr w:type="spellStart"/>
      <w:r w:rsidRPr="003F370E">
        <w:t>based</w:t>
      </w:r>
      <w:proofErr w:type="spellEnd"/>
      <w:r w:rsidRPr="003F370E">
        <w:t xml:space="preserve"> </w:t>
      </w:r>
      <w:proofErr w:type="spellStart"/>
      <w:r w:rsidRPr="003F370E">
        <w:t>upon</w:t>
      </w:r>
      <w:proofErr w:type="spellEnd"/>
      <w:r w:rsidRPr="003F370E">
        <w:t xml:space="preserve"> a </w:t>
      </w:r>
      <w:proofErr w:type="spellStart"/>
      <w:r w:rsidRPr="003F370E">
        <w:t>letter</w:t>
      </w:r>
      <w:proofErr w:type="spellEnd"/>
      <w:r w:rsidRPr="003F370E">
        <w:t xml:space="preserve"> </w:t>
      </w:r>
      <w:proofErr w:type="spellStart"/>
      <w:r w:rsidRPr="003F370E">
        <w:t>sent</w:t>
      </w:r>
      <w:proofErr w:type="spellEnd"/>
      <w:r w:rsidRPr="003F370E">
        <w:t xml:space="preserve"> by Dr. </w:t>
      </w:r>
      <w:proofErr w:type="spellStart"/>
      <w:r w:rsidRPr="003F370E">
        <w:t>Israel</w:t>
      </w:r>
      <w:proofErr w:type="spellEnd"/>
      <w:r w:rsidRPr="003F370E">
        <w:t xml:space="preserve"> </w:t>
      </w:r>
      <w:proofErr w:type="spellStart"/>
      <w:r w:rsidRPr="003F370E">
        <w:t>Peleg</w:t>
      </w:r>
      <w:proofErr w:type="spellEnd"/>
      <w:r w:rsidRPr="003F370E">
        <w:t xml:space="preserve">, </w:t>
      </w:r>
      <w:proofErr w:type="spellStart"/>
      <w:r w:rsidRPr="003F370E">
        <w:t>chairman</w:t>
      </w:r>
      <w:proofErr w:type="spellEnd"/>
      <w:r w:rsidRPr="003F370E">
        <w:t xml:space="preserve"> </w:t>
      </w:r>
      <w:proofErr w:type="spellStart"/>
      <w:r w:rsidRPr="003F370E">
        <w:t>of</w:t>
      </w:r>
      <w:proofErr w:type="spellEnd"/>
      <w:r w:rsidRPr="003F370E">
        <w:t xml:space="preserve"> </w:t>
      </w:r>
      <w:proofErr w:type="spellStart"/>
      <w:r w:rsidRPr="003F370E">
        <w:t>the</w:t>
      </w:r>
      <w:proofErr w:type="spellEnd"/>
      <w:r w:rsidRPr="003F370E">
        <w:t xml:space="preserve"> </w:t>
      </w:r>
      <w:proofErr w:type="spellStart"/>
      <w:r w:rsidRPr="003F370E">
        <w:t>company</w:t>
      </w:r>
      <w:proofErr w:type="spellEnd"/>
      <w:r w:rsidRPr="003F370E">
        <w:t xml:space="preserve"> </w:t>
      </w:r>
      <w:proofErr w:type="spellStart"/>
      <w:r w:rsidRPr="003F370E">
        <w:t>for</w:t>
      </w:r>
      <w:proofErr w:type="spellEnd"/>
      <w:r w:rsidRPr="003F370E">
        <w:t xml:space="preserve"> </w:t>
      </w:r>
      <w:proofErr w:type="spellStart"/>
      <w:r w:rsidRPr="003F370E">
        <w:t>location</w:t>
      </w:r>
      <w:proofErr w:type="spellEnd"/>
      <w:r w:rsidRPr="003F370E">
        <w:t xml:space="preserve"> and</w:t>
      </w:r>
      <w:r>
        <w:t xml:space="preserve"> </w:t>
      </w:r>
      <w:proofErr w:type="spellStart"/>
      <w:r>
        <w:t>restitution</w:t>
      </w:r>
      <w:proofErr w:type="spellEnd"/>
      <w:r>
        <w:t xml:space="preserve"> </w:t>
      </w:r>
      <w:proofErr w:type="spellStart"/>
      <w:r>
        <w:t>of</w:t>
      </w:r>
      <w:proofErr w:type="spellEnd"/>
      <w:r>
        <w:t xml:space="preserve"> </w:t>
      </w:r>
      <w:proofErr w:type="spellStart"/>
      <w:r>
        <w:t>property</w:t>
      </w:r>
      <w:proofErr w:type="spellEnd"/>
      <w:r>
        <w:t xml:space="preserve"> in </w:t>
      </w:r>
      <w:proofErr w:type="spellStart"/>
      <w:smartTag w:uri="urn:schemas-microsoft-com:office:smarttags" w:element="place">
        <w:smartTag w:uri="urn:schemas-microsoft-com:office:smarttags" w:element="country-region">
          <w:r>
            <w:t>Israel</w:t>
          </w:r>
        </w:smartTag>
      </w:smartTag>
      <w:proofErr w:type="spellEnd"/>
      <w:r>
        <w:t xml:space="preserve"> to </w:t>
      </w:r>
      <w:proofErr w:type="spellStart"/>
      <w:r>
        <w:t>Mr</w:t>
      </w:r>
      <w:proofErr w:type="spellEnd"/>
      <w:r>
        <w:t xml:space="preserve">. </w:t>
      </w:r>
      <w:proofErr w:type="spellStart"/>
      <w:r>
        <w:t>Aharon</w:t>
      </w:r>
      <w:proofErr w:type="spellEnd"/>
      <w:r>
        <w:t xml:space="preserve"> </w:t>
      </w:r>
      <w:proofErr w:type="spellStart"/>
      <w:r>
        <w:t>Azualy</w:t>
      </w:r>
      <w:proofErr w:type="spellEnd"/>
      <w:r>
        <w:t xml:space="preserve">, </w:t>
      </w:r>
      <w:proofErr w:type="spellStart"/>
      <w:r>
        <w:t>Director</w:t>
      </w:r>
      <w:proofErr w:type="spellEnd"/>
      <w:r>
        <w:t xml:space="preserve"> </w:t>
      </w:r>
      <w:proofErr w:type="spellStart"/>
      <w:r>
        <w:t>General</w:t>
      </w:r>
      <w:proofErr w:type="spellEnd"/>
      <w:r>
        <w:t xml:space="preserve"> </w:t>
      </w:r>
      <w:proofErr w:type="spellStart"/>
      <w:r>
        <w:t>of</w:t>
      </w:r>
      <w:proofErr w:type="spellEnd"/>
      <w:r>
        <w:t xml:space="preserve"> </w:t>
      </w:r>
      <w:proofErr w:type="spellStart"/>
      <w:r>
        <w:t>the</w:t>
      </w:r>
      <w:proofErr w:type="spellEnd"/>
      <w:r>
        <w:t xml:space="preserve"> </w:t>
      </w:r>
      <w:proofErr w:type="spellStart"/>
      <w:r>
        <w:t>ministry</w:t>
      </w:r>
      <w:proofErr w:type="spellEnd"/>
      <w:r>
        <w:t xml:space="preserve"> </w:t>
      </w:r>
      <w:proofErr w:type="spellStart"/>
      <w:r>
        <w:t>for</w:t>
      </w:r>
      <w:proofErr w:type="spellEnd"/>
      <w:r>
        <w:t xml:space="preserve"> Senior </w:t>
      </w:r>
      <w:proofErr w:type="spellStart"/>
      <w:r>
        <w:t>citizens</w:t>
      </w:r>
      <w:proofErr w:type="spellEnd"/>
      <w:r>
        <w:t xml:space="preserve"> on 10.10.12.</w:t>
      </w:r>
    </w:p>
  </w:footnote>
  <w:footnote w:id="2">
    <w:p w:rsidR="00897494" w:rsidRPr="00AE17DC" w:rsidRDefault="00897494" w:rsidP="00897494">
      <w:pPr>
        <w:pStyle w:val="Textpoznpodarou"/>
        <w:rPr>
          <w:lang w:val="de-DE"/>
        </w:rPr>
      </w:pPr>
      <w:r>
        <w:rPr>
          <w:rStyle w:val="Znakapoznpodarou"/>
        </w:rPr>
        <w:footnoteRef/>
      </w:r>
      <w:r>
        <w:rPr>
          <w:rtl/>
        </w:rPr>
        <w:t xml:space="preserve"> </w:t>
      </w:r>
      <w:r w:rsidRPr="00AE17DC">
        <w:rPr>
          <w:lang w:val="de-DE"/>
        </w:rPr>
        <w:t xml:space="preserve">Amit </w:t>
      </w:r>
      <w:proofErr w:type="spellStart"/>
      <w:r w:rsidRPr="00AE17DC">
        <w:rPr>
          <w:lang w:val="de-DE"/>
        </w:rPr>
        <w:t>Erdinast</w:t>
      </w:r>
      <w:proofErr w:type="spellEnd"/>
      <w:r w:rsidRPr="00AE17DC">
        <w:rPr>
          <w:lang w:val="de-DE"/>
        </w:rPr>
        <w:t xml:space="preserve">-Ron, </w:t>
      </w:r>
      <w:proofErr w:type="spellStart"/>
      <w:r w:rsidRPr="00AE17DC">
        <w:rPr>
          <w:lang w:val="de-DE"/>
        </w:rPr>
        <w:t>Nachempfundes</w:t>
      </w:r>
      <w:proofErr w:type="spellEnd"/>
      <w:r w:rsidRPr="00AE17DC">
        <w:rPr>
          <w:lang w:val="de-DE"/>
        </w:rPr>
        <w:t xml:space="preserve"> Recht Rhetorik und Praxis des Israelische</w:t>
      </w:r>
      <w:r>
        <w:rPr>
          <w:lang w:val="de-DE"/>
        </w:rPr>
        <w:t xml:space="preserve">n Gesetzes für Invaliden der NS Verfolgung, Frei, Brunner, </w:t>
      </w:r>
      <w:proofErr w:type="spellStart"/>
      <w:r>
        <w:rPr>
          <w:lang w:val="de-DE"/>
        </w:rPr>
        <w:t>Goschler</w:t>
      </w:r>
      <w:proofErr w:type="spellEnd"/>
      <w:r>
        <w:rPr>
          <w:lang w:val="de-DE"/>
        </w:rPr>
        <w:t xml:space="preserve"> (</w:t>
      </w:r>
      <w:proofErr w:type="spellStart"/>
      <w:r>
        <w:rPr>
          <w:lang w:val="de-DE"/>
        </w:rPr>
        <w:t>Hrbg</w:t>
      </w:r>
      <w:proofErr w:type="spellEnd"/>
      <w:r>
        <w:rPr>
          <w:lang w:val="de-DE"/>
        </w:rPr>
        <w:t xml:space="preserve">.), Die Praxis der </w:t>
      </w:r>
      <w:proofErr w:type="spellStart"/>
      <w:r>
        <w:rPr>
          <w:lang w:val="de-DE"/>
        </w:rPr>
        <w:t>Weidergutmachung</w:t>
      </w:r>
      <w:proofErr w:type="spellEnd"/>
      <w:r>
        <w:rPr>
          <w:lang w:val="de-DE"/>
        </w:rPr>
        <w:t>, Wallstein 2009, p. 660</w:t>
      </w:r>
    </w:p>
  </w:footnote>
  <w:footnote w:id="3">
    <w:p w:rsidR="00897494" w:rsidRDefault="00897494" w:rsidP="00897494">
      <w:pPr>
        <w:pStyle w:val="Textpoznpodarou"/>
      </w:pPr>
      <w:r>
        <w:rPr>
          <w:rStyle w:val="Znakapoznpodarou"/>
        </w:rPr>
        <w:footnoteRef/>
      </w:r>
      <w:r>
        <w:rPr>
          <w:rtl/>
        </w:rPr>
        <w:t xml:space="preserve"> </w:t>
      </w:r>
      <w:r>
        <w:t xml:space="preserve">A </w:t>
      </w:r>
      <w:proofErr w:type="spellStart"/>
      <w:r>
        <w:t>letter</w:t>
      </w:r>
      <w:proofErr w:type="spellEnd"/>
      <w:r>
        <w:t xml:space="preserve"> </w:t>
      </w:r>
      <w:proofErr w:type="spellStart"/>
      <w:r>
        <w:t>of</w:t>
      </w:r>
      <w:proofErr w:type="spellEnd"/>
      <w:r>
        <w:t xml:space="preserve"> </w:t>
      </w:r>
      <w:proofErr w:type="spellStart"/>
      <w:r>
        <w:t>Ms</w:t>
      </w:r>
      <w:proofErr w:type="spellEnd"/>
      <w:r>
        <w:t xml:space="preserve">. </w:t>
      </w:r>
      <w:proofErr w:type="spellStart"/>
      <w:r>
        <w:t>Ofra</w:t>
      </w:r>
      <w:proofErr w:type="spellEnd"/>
      <w:r>
        <w:t xml:space="preserve"> </w:t>
      </w:r>
      <w:proofErr w:type="spellStart"/>
      <w:r>
        <w:t>Ross</w:t>
      </w:r>
      <w:proofErr w:type="spellEnd"/>
      <w:r>
        <w:t xml:space="preserve">, </w:t>
      </w:r>
      <w:proofErr w:type="spellStart"/>
      <w:r>
        <w:t>Director</w:t>
      </w:r>
      <w:proofErr w:type="spellEnd"/>
      <w:r>
        <w:t xml:space="preserve"> </w:t>
      </w:r>
      <w:proofErr w:type="spellStart"/>
      <w:r>
        <w:t>General</w:t>
      </w:r>
      <w:proofErr w:type="spellEnd"/>
      <w:r>
        <w:t xml:space="preserve"> </w:t>
      </w:r>
      <w:proofErr w:type="spellStart"/>
      <w:r>
        <w:t>of</w:t>
      </w:r>
      <w:proofErr w:type="spellEnd"/>
      <w:r>
        <w:t xml:space="preserve"> </w:t>
      </w:r>
      <w:proofErr w:type="spellStart"/>
      <w:r>
        <w:t>the</w:t>
      </w:r>
      <w:proofErr w:type="spellEnd"/>
      <w:r>
        <w:t xml:space="preserve"> </w:t>
      </w:r>
      <w:proofErr w:type="spellStart"/>
      <w:r>
        <w:t>Authority</w:t>
      </w:r>
      <w:proofErr w:type="spellEnd"/>
      <w:r>
        <w:t xml:space="preserve"> </w:t>
      </w:r>
      <w:proofErr w:type="spellStart"/>
      <w:r>
        <w:t>for</w:t>
      </w:r>
      <w:proofErr w:type="spellEnd"/>
      <w:r>
        <w:t xml:space="preserve"> </w:t>
      </w:r>
      <w:proofErr w:type="spellStart"/>
      <w:r>
        <w:t>the</w:t>
      </w:r>
      <w:proofErr w:type="spellEnd"/>
      <w:r>
        <w:t xml:space="preserve"> </w:t>
      </w:r>
      <w:proofErr w:type="spellStart"/>
      <w:r>
        <w:t>rights</w:t>
      </w:r>
      <w:proofErr w:type="spellEnd"/>
      <w:r>
        <w:t xml:space="preserve"> </w:t>
      </w:r>
      <w:proofErr w:type="spellStart"/>
      <w:r>
        <w:t>of</w:t>
      </w:r>
      <w:proofErr w:type="spellEnd"/>
      <w:r>
        <w:t xml:space="preserve"> </w:t>
      </w:r>
      <w:proofErr w:type="spellStart"/>
      <w:r>
        <w:t>Holocaust</w:t>
      </w:r>
      <w:proofErr w:type="spellEnd"/>
      <w:r>
        <w:t xml:space="preserve"> </w:t>
      </w:r>
      <w:proofErr w:type="spellStart"/>
      <w:r>
        <w:t>survivors</w:t>
      </w:r>
      <w:proofErr w:type="spellEnd"/>
      <w:r>
        <w:t xml:space="preserve"> to </w:t>
      </w:r>
      <w:proofErr w:type="spellStart"/>
      <w:r>
        <w:t>Mr</w:t>
      </w:r>
      <w:proofErr w:type="spellEnd"/>
      <w:r>
        <w:t xml:space="preserve">. </w:t>
      </w:r>
      <w:proofErr w:type="spellStart"/>
      <w:r>
        <w:t>Aharon</w:t>
      </w:r>
      <w:proofErr w:type="spellEnd"/>
      <w:r>
        <w:t xml:space="preserve"> </w:t>
      </w:r>
      <w:proofErr w:type="spellStart"/>
      <w:r>
        <w:t>Azualy</w:t>
      </w:r>
      <w:proofErr w:type="spellEnd"/>
      <w:r>
        <w:t xml:space="preserve">, </w:t>
      </w:r>
      <w:proofErr w:type="spellStart"/>
      <w:r>
        <w:t>Director</w:t>
      </w:r>
      <w:proofErr w:type="spellEnd"/>
      <w:r>
        <w:t xml:space="preserve"> </w:t>
      </w:r>
      <w:proofErr w:type="spellStart"/>
      <w:r>
        <w:t>General</w:t>
      </w:r>
      <w:proofErr w:type="spellEnd"/>
      <w:r>
        <w:t xml:space="preserve"> </w:t>
      </w:r>
      <w:proofErr w:type="spellStart"/>
      <w:r>
        <w:t>Ministry</w:t>
      </w:r>
      <w:proofErr w:type="spellEnd"/>
      <w:r>
        <w:t xml:space="preserve"> </w:t>
      </w:r>
      <w:proofErr w:type="spellStart"/>
      <w:r>
        <w:t>for</w:t>
      </w:r>
      <w:proofErr w:type="spellEnd"/>
      <w:r>
        <w:t xml:space="preserve"> Senior </w:t>
      </w:r>
      <w:proofErr w:type="spellStart"/>
      <w:r>
        <w:t>Citizens</w:t>
      </w:r>
      <w:proofErr w:type="spellEnd"/>
      <w:r>
        <w:t xml:space="preserve"> </w:t>
      </w:r>
      <w:proofErr w:type="spellStart"/>
      <w:r>
        <w:t>sent</w:t>
      </w:r>
      <w:proofErr w:type="spellEnd"/>
      <w:r>
        <w:t xml:space="preserve"> on 6.11.12.</w:t>
      </w:r>
    </w:p>
  </w:footnote>
  <w:footnote w:id="4">
    <w:p w:rsidR="00897494" w:rsidRDefault="00897494" w:rsidP="00897494">
      <w:pPr>
        <w:pStyle w:val="Textpoznpodarou"/>
      </w:pPr>
      <w:r>
        <w:rPr>
          <w:rStyle w:val="Znakapoznpodarou"/>
        </w:rPr>
        <w:footnoteRef/>
      </w:r>
      <w:r>
        <w:rPr>
          <w:rtl/>
        </w:rPr>
        <w:t xml:space="preserve"> </w:t>
      </w:r>
      <w:r w:rsidRPr="00AE17DC">
        <w:rPr>
          <w:lang w:val="de-DE"/>
        </w:rPr>
        <w:t xml:space="preserve">Gesetz zur Zahlbarmachung von Renten aus Beschäftigungen in einem Ghetto vom 20. </w:t>
      </w:r>
      <w:proofErr w:type="spellStart"/>
      <w:r>
        <w:t>Juni</w:t>
      </w:r>
      <w:proofErr w:type="spellEnd"/>
      <w:r>
        <w:t xml:space="preserve"> 2002 (BGB l. I S. 2074)</w:t>
      </w:r>
    </w:p>
  </w:footnote>
  <w:footnote w:id="5">
    <w:p w:rsidR="00897494" w:rsidRPr="008D4D31" w:rsidRDefault="00897494" w:rsidP="00897494">
      <w:pPr>
        <w:pStyle w:val="Textpoznpodarou"/>
        <w:rPr>
          <w:color w:val="0000FF"/>
          <w:lang w:val="de-DE"/>
        </w:rPr>
      </w:pPr>
      <w:r>
        <w:rPr>
          <w:rStyle w:val="Znakapoznpodarou"/>
        </w:rPr>
        <w:footnoteRef/>
      </w:r>
      <w:r>
        <w:rPr>
          <w:rtl/>
        </w:rPr>
        <w:t xml:space="preserve"> </w:t>
      </w:r>
      <w:r w:rsidRPr="00AE17DC">
        <w:rPr>
          <w:lang w:val="de-DE"/>
        </w:rPr>
        <w:t xml:space="preserve">Richtlinie der Bundesregierung über eine Anerkennungsleistung an Verfolgte für Arbeit in einem </w:t>
      </w:r>
      <w:r w:rsidRPr="003F370E">
        <w:rPr>
          <w:lang w:val="de-DE"/>
        </w:rPr>
        <w:t>Ghetto, die keine Zwangsarbeit war (Anerkennungsrichtlinie</w:t>
      </w:r>
      <w:r w:rsidRPr="008D4D31">
        <w:rPr>
          <w:lang w:val="de-DE"/>
        </w:rPr>
        <w:t>),</w:t>
      </w:r>
      <w:hyperlink r:id="rId1" w:tgtFrame="_blank" w:tooltip="Bundesanzeiger Nr. 195, S. 4608 - 4609, vom 28. Dezember 2011" w:history="1">
        <w:r w:rsidRPr="008D4D31">
          <w:rPr>
            <w:rStyle w:val="Hypertextovodkaz"/>
            <w:rFonts w:eastAsiaTheme="majorEastAsia"/>
            <w:lang w:val="de-DE"/>
          </w:rPr>
          <w:t>Bundesanzeiger Nr. 195, S. 4608 - 4609, vom 28. Dezember 2011</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494"/>
    <w:rsid w:val="006C7E62"/>
    <w:rsid w:val="008974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7494"/>
    <w:rPr>
      <w:lang w:val="en-US"/>
    </w:rPr>
  </w:style>
  <w:style w:type="paragraph" w:styleId="Nadpis1">
    <w:name w:val="heading 1"/>
    <w:basedOn w:val="Normln"/>
    <w:next w:val="Normln"/>
    <w:link w:val="Nadpis1Char"/>
    <w:uiPriority w:val="9"/>
    <w:qFormat/>
    <w:rsid w:val="008974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97494"/>
    <w:rPr>
      <w:rFonts w:asciiTheme="majorHAnsi" w:eastAsiaTheme="majorEastAsia" w:hAnsiTheme="majorHAnsi" w:cstheme="majorBidi"/>
      <w:b/>
      <w:bCs/>
      <w:color w:val="365F91" w:themeColor="accent1" w:themeShade="BF"/>
      <w:sz w:val="28"/>
      <w:szCs w:val="28"/>
      <w:lang w:val="en-US"/>
    </w:rPr>
  </w:style>
  <w:style w:type="character" w:styleId="Hypertextovodkaz">
    <w:name w:val="Hyperlink"/>
    <w:basedOn w:val="Standardnpsmoodstavce"/>
    <w:uiPriority w:val="99"/>
    <w:unhideWhenUsed/>
    <w:rsid w:val="00897494"/>
    <w:rPr>
      <w:color w:val="0000FF" w:themeColor="hyperlink"/>
      <w:u w:val="single"/>
    </w:rPr>
  </w:style>
  <w:style w:type="paragraph" w:styleId="Textpoznpodarou">
    <w:name w:val="footnote text"/>
    <w:basedOn w:val="Normln"/>
    <w:link w:val="TextpoznpodarouChar"/>
    <w:semiHidden/>
    <w:unhideWhenUsed/>
    <w:rsid w:val="00897494"/>
    <w:pPr>
      <w:spacing w:after="0" w:line="240" w:lineRule="auto"/>
    </w:pPr>
    <w:rPr>
      <w:rFonts w:ascii="Times New Roman" w:eastAsia="Times New Roman" w:hAnsi="Times New Roman" w:cs="Times New Roman"/>
      <w:sz w:val="20"/>
      <w:szCs w:val="20"/>
      <w:lang w:val="sk-SK" w:eastAsia="sk-SK"/>
    </w:rPr>
  </w:style>
  <w:style w:type="character" w:customStyle="1" w:styleId="TextpoznpodarouChar">
    <w:name w:val="Text pozn. pod čarou Char"/>
    <w:basedOn w:val="Standardnpsmoodstavce"/>
    <w:link w:val="Textpoznpodarou"/>
    <w:semiHidden/>
    <w:rsid w:val="00897494"/>
    <w:rPr>
      <w:rFonts w:ascii="Times New Roman" w:eastAsia="Times New Roman" w:hAnsi="Times New Roman" w:cs="Times New Roman"/>
      <w:sz w:val="20"/>
      <w:szCs w:val="20"/>
      <w:lang w:val="sk-SK" w:eastAsia="sk-SK"/>
    </w:rPr>
  </w:style>
  <w:style w:type="character" w:styleId="Znakapoznpodarou">
    <w:name w:val="footnote reference"/>
    <w:semiHidden/>
    <w:unhideWhenUsed/>
    <w:rsid w:val="0089749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7494"/>
    <w:rPr>
      <w:lang w:val="en-US"/>
    </w:rPr>
  </w:style>
  <w:style w:type="paragraph" w:styleId="Nadpis1">
    <w:name w:val="heading 1"/>
    <w:basedOn w:val="Normln"/>
    <w:next w:val="Normln"/>
    <w:link w:val="Nadpis1Char"/>
    <w:uiPriority w:val="9"/>
    <w:qFormat/>
    <w:rsid w:val="008974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97494"/>
    <w:rPr>
      <w:rFonts w:asciiTheme="majorHAnsi" w:eastAsiaTheme="majorEastAsia" w:hAnsiTheme="majorHAnsi" w:cstheme="majorBidi"/>
      <w:b/>
      <w:bCs/>
      <w:color w:val="365F91" w:themeColor="accent1" w:themeShade="BF"/>
      <w:sz w:val="28"/>
      <w:szCs w:val="28"/>
      <w:lang w:val="en-US"/>
    </w:rPr>
  </w:style>
  <w:style w:type="character" w:styleId="Hypertextovodkaz">
    <w:name w:val="Hyperlink"/>
    <w:basedOn w:val="Standardnpsmoodstavce"/>
    <w:uiPriority w:val="99"/>
    <w:unhideWhenUsed/>
    <w:rsid w:val="00897494"/>
    <w:rPr>
      <w:color w:val="0000FF" w:themeColor="hyperlink"/>
      <w:u w:val="single"/>
    </w:rPr>
  </w:style>
  <w:style w:type="paragraph" w:styleId="Textpoznpodarou">
    <w:name w:val="footnote text"/>
    <w:basedOn w:val="Normln"/>
    <w:link w:val="TextpoznpodarouChar"/>
    <w:semiHidden/>
    <w:unhideWhenUsed/>
    <w:rsid w:val="00897494"/>
    <w:pPr>
      <w:spacing w:after="0" w:line="240" w:lineRule="auto"/>
    </w:pPr>
    <w:rPr>
      <w:rFonts w:ascii="Times New Roman" w:eastAsia="Times New Roman" w:hAnsi="Times New Roman" w:cs="Times New Roman"/>
      <w:sz w:val="20"/>
      <w:szCs w:val="20"/>
      <w:lang w:val="sk-SK" w:eastAsia="sk-SK"/>
    </w:rPr>
  </w:style>
  <w:style w:type="character" w:customStyle="1" w:styleId="TextpoznpodarouChar">
    <w:name w:val="Text pozn. pod čarou Char"/>
    <w:basedOn w:val="Standardnpsmoodstavce"/>
    <w:link w:val="Textpoznpodarou"/>
    <w:semiHidden/>
    <w:rsid w:val="00897494"/>
    <w:rPr>
      <w:rFonts w:ascii="Times New Roman" w:eastAsia="Times New Roman" w:hAnsi="Times New Roman" w:cs="Times New Roman"/>
      <w:sz w:val="20"/>
      <w:szCs w:val="20"/>
      <w:lang w:val="sk-SK" w:eastAsia="sk-SK"/>
    </w:rPr>
  </w:style>
  <w:style w:type="character" w:styleId="Znakapoznpodarou">
    <w:name w:val="footnote reference"/>
    <w:semiHidden/>
    <w:unhideWhenUsed/>
    <w:rsid w:val="008974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badv.bund.de/003_menue_links/f0_ghetto/BAnz_Anerkennungsrichtlinie.pdf"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2059</Words>
  <Characters>12152</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hani</dc:creator>
  <cp:lastModifiedBy>hani</cp:lastModifiedBy>
  <cp:revision>1</cp:revision>
  <dcterms:created xsi:type="dcterms:W3CDTF">2013-01-16T09:16:00Z</dcterms:created>
  <dcterms:modified xsi:type="dcterms:W3CDTF">2013-01-16T09:17:00Z</dcterms:modified>
</cp:coreProperties>
</file>